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3E" w:rsidRPr="003F6872" w:rsidRDefault="003F4110" w:rsidP="007B356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 w:rsidRPr="003F687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F687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F6872">
        <w:rPr>
          <w:b/>
          <w:lang w:val="ru-RU"/>
        </w:rPr>
        <w:br/>
      </w:r>
      <w:proofErr w:type="spellStart"/>
      <w:r w:rsidR="00B17FCA">
        <w:rPr>
          <w:rFonts w:hAnsi="Times New Roman" w:cs="Times New Roman"/>
          <w:b/>
          <w:color w:val="000000"/>
          <w:sz w:val="24"/>
          <w:szCs w:val="24"/>
          <w:lang w:val="ru-RU"/>
        </w:rPr>
        <w:t>Рыновская</w:t>
      </w:r>
      <w:proofErr w:type="spellEnd"/>
      <w:r w:rsidR="00B17F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F6872" w:rsidRPr="003F687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основная общеобразовательная школа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77"/>
        <w:gridCol w:w="415"/>
        <w:gridCol w:w="1602"/>
        <w:gridCol w:w="2286"/>
      </w:tblGrid>
      <w:tr w:rsidR="00CD2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3F4110" w:rsidP="003F687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3F4110" w:rsidP="003F687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3F4110" w:rsidP="003F687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УТВЕРЖДАЮ</w:t>
            </w:r>
          </w:p>
        </w:tc>
      </w:tr>
      <w:tr w:rsidR="00CD2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3F4110" w:rsidP="003F6872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оветом</w:t>
            </w:r>
            <w:proofErr w:type="spellEnd"/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Pr="00101401" w:rsidRDefault="003F4110" w:rsidP="00B17FCA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B17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Н.И. </w:t>
            </w:r>
            <w:proofErr w:type="spellStart"/>
            <w:r w:rsidR="00B17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Стригунова</w:t>
            </w:r>
            <w:proofErr w:type="spellEnd"/>
          </w:p>
        </w:tc>
      </w:tr>
      <w:tr w:rsidR="00CD2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101401" w:rsidP="003F687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протокол</w:t>
            </w:r>
            <w:proofErr w:type="spellEnd"/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от</w:t>
            </w:r>
            <w:proofErr w:type="spellEnd"/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1</w:t>
            </w:r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января</w:t>
            </w:r>
            <w:proofErr w:type="spellEnd"/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2021 г. № </w:t>
            </w:r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B17FCA"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B17FC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</w:p>
          <w:p w:rsidR="00B17FCA" w:rsidRPr="00B17FCA" w:rsidRDefault="00B17FCA" w:rsidP="003F687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Председатель ___________ И.Н. Тихонова 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Pr="00101401" w:rsidRDefault="00B17FCA" w:rsidP="00B17FC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№3</w:t>
            </w:r>
            <w:r w:rsidR="00101401">
              <w:rPr>
                <w:lang w:val="ru-RU"/>
              </w:rPr>
              <w:t xml:space="preserve"> </w:t>
            </w:r>
            <w:r w:rsidR="00101401" w:rsidRPr="00B17FCA">
              <w:rPr>
                <w:u w:val="single"/>
                <w:lang w:val="ru-RU"/>
              </w:rPr>
              <w:t>от_</w:t>
            </w:r>
            <w:r w:rsidRPr="00B17FCA">
              <w:rPr>
                <w:u w:val="single"/>
                <w:lang w:val="ru-RU"/>
              </w:rPr>
              <w:t>12.01.</w:t>
            </w:r>
            <w:r w:rsidR="00101401" w:rsidRPr="00B17FCA">
              <w:rPr>
                <w:u w:val="single"/>
                <w:lang w:val="ru-RU"/>
              </w:rPr>
              <w:t>2021г</w:t>
            </w:r>
            <w:r w:rsidR="00101401">
              <w:rPr>
                <w:lang w:val="ru-RU"/>
              </w:rPr>
              <w:t>.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jc w:val="both"/>
            </w:pPr>
          </w:p>
        </w:tc>
      </w:tr>
      <w:tr w:rsidR="00CD2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jc w:val="both"/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jc w:val="both"/>
            </w:pPr>
          </w:p>
        </w:tc>
      </w:tr>
      <w:tr w:rsidR="00CD213E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3E" w:rsidRDefault="00CD213E" w:rsidP="003F687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1401" w:rsidRDefault="003F4110" w:rsidP="007B35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01401">
        <w:rPr>
          <w:lang w:val="ru-RU"/>
        </w:rPr>
        <w:br/>
      </w: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питания </w:t>
      </w:r>
      <w:proofErr w:type="gramStart"/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lang w:val="ru-RU"/>
        </w:rPr>
        <w:br/>
      </w: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</w:t>
      </w:r>
    </w:p>
    <w:p w:rsidR="00CD213E" w:rsidRPr="00101401" w:rsidRDefault="003F4110" w:rsidP="007B35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учреждения </w:t>
      </w:r>
      <w:proofErr w:type="spellStart"/>
      <w:r w:rsidR="00B17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Рыновская</w:t>
      </w:r>
      <w:proofErr w:type="spellEnd"/>
      <w:r w:rsid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101401" w:rsidRDefault="00101401" w:rsidP="00AF09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1401" w:rsidRDefault="00101401" w:rsidP="00AF09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213E" w:rsidRPr="00101401" w:rsidRDefault="003F4110" w:rsidP="003F68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обучающихся Муниципального бюджетного общеобразовательного учреждения </w:t>
      </w:r>
      <w:proofErr w:type="spellStart"/>
      <w:r w:rsidR="00B17FCA">
        <w:rPr>
          <w:rFonts w:hAnsi="Times New Roman" w:cs="Times New Roman"/>
          <w:color w:val="000000"/>
          <w:sz w:val="24"/>
          <w:szCs w:val="24"/>
          <w:lang w:val="ru-RU"/>
        </w:rPr>
        <w:t>Рыновская</w:t>
      </w:r>
      <w:proofErr w:type="spellEnd"/>
      <w:r w:rsidR="00BD3D3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постановлением администрации </w:t>
      </w:r>
      <w:r w:rsidR="00B17FCA">
        <w:rPr>
          <w:rFonts w:hAnsi="Times New Roman" w:cs="Times New Roman"/>
          <w:color w:val="000000"/>
          <w:sz w:val="24"/>
          <w:szCs w:val="24"/>
          <w:lang w:val="ru-RU"/>
        </w:rPr>
        <w:t xml:space="preserve">Тарасовского района Ростовской 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области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Положения об обеспечении питанием обучающихся муниципальных организаций»,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proofErr w:type="spellStart"/>
      <w:r w:rsidR="00B17FCA">
        <w:rPr>
          <w:rFonts w:hAnsi="Times New Roman" w:cs="Times New Roman"/>
          <w:color w:val="000000"/>
          <w:sz w:val="24"/>
          <w:szCs w:val="24"/>
          <w:lang w:val="ru-RU"/>
        </w:rPr>
        <w:t>Рыновская</w:t>
      </w:r>
      <w:proofErr w:type="spellEnd"/>
      <w:r w:rsidR="00BD3D3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  <w:proofErr w:type="gramEnd"/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CD213E" w:rsidRPr="00101401" w:rsidRDefault="003F4110" w:rsidP="003F68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предоставление 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(законными представителями)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обучающихся организуется в соответствии с требованиями СП 2.4.3648-20, СанПиН 2.3/2.4.3590-20 и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2.2.1. Горячее питание обучающимся предоставляется в учебные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1401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101401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2.3.1. В соответствии с требованиями СП 2.4.3648-20, СанПиН 2.3/2.4.3590-20 и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2.3.3. Для организации питания работники </w:t>
      </w:r>
      <w:r w:rsidR="001014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ведут и используют следующие документы: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об организации горячего 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приказ о льготном горячем питании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об организации питьевого режима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13E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приготавливаемых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13E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13E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кулинарных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ведомость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рационом питания;</w:t>
      </w:r>
    </w:p>
    <w:p w:rsidR="00CD213E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инструкцию по отбору суточных проб;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инструкцию по правилам мытья кухонной посуды;</w:t>
      </w:r>
    </w:p>
    <w:p w:rsidR="00CD213E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журнал санитарно-технического состояния и содержания помещений пищеблока;</w:t>
      </w:r>
    </w:p>
    <w:p w:rsidR="00CD213E" w:rsidRPr="00101401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контракты на поставку продуктов питания;</w:t>
      </w:r>
    </w:p>
    <w:p w:rsidR="00CD213E" w:rsidRDefault="003F4110" w:rsidP="00AF09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1401" w:rsidRDefault="00101401" w:rsidP="00AF09DB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13E" w:rsidRPr="00101401" w:rsidRDefault="003F4110" w:rsidP="00AF09DB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CD213E" w:rsidRPr="00101401" w:rsidRDefault="003F4110" w:rsidP="00AF09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CD213E" w:rsidRPr="00101401" w:rsidRDefault="003F4110" w:rsidP="00AF09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CD213E" w:rsidRPr="00101401" w:rsidRDefault="003F4110" w:rsidP="00AF09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D213E" w:rsidRPr="00101401" w:rsidRDefault="003F4110" w:rsidP="00AF09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CD213E" w:rsidRPr="00101401" w:rsidRDefault="003F4110" w:rsidP="00AF09D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CD213E" w:rsidRPr="00101401" w:rsidRDefault="003F4110" w:rsidP="003F68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и питьевого режима </w:t>
      </w:r>
      <w:proofErr w:type="gramStart"/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приемов определяется по нормам, установленным приложением 12 к СанПиН 2.3/2.4.3590-20.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CD213E" w:rsidRPr="00101401" w:rsidRDefault="003F4110" w:rsidP="00AF09D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CD213E" w:rsidRPr="00101401" w:rsidRDefault="003F4110" w:rsidP="00AF09D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ребенок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CD213E" w:rsidRPr="00101401" w:rsidRDefault="003F4110" w:rsidP="00AF09D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умер (признан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судом в установленном порядке безвестно отсутствующим или объявлен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умершим);</w:t>
      </w:r>
    </w:p>
    <w:p w:rsidR="00CD213E" w:rsidRPr="00101401" w:rsidRDefault="003F4110" w:rsidP="00AF09D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CD213E" w:rsidRPr="007B356E" w:rsidRDefault="00CD213E" w:rsidP="00AF09DB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3.1.3. Для отпуска горячего питания обучающихся в течение учебного дня выделяются </w:t>
      </w:r>
      <w:r w:rsidR="00B17FCA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3.1.5. 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за 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:rsidR="00CD213E" w:rsidRPr="00101401" w:rsidRDefault="00101401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3F4110"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.Питьевой режим</w:t>
      </w:r>
    </w:p>
    <w:p w:rsidR="00CD213E" w:rsidRPr="00101401" w:rsidRDefault="00101401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3F4110" w:rsidRPr="00101401">
        <w:rPr>
          <w:rFonts w:hAnsi="Times New Roman" w:cs="Times New Roman"/>
          <w:color w:val="000000"/>
          <w:sz w:val="24"/>
          <w:szCs w:val="24"/>
          <w:lang w:val="ru-RU"/>
        </w:rPr>
        <w:t>.1. Питьевой режим обучающихся обеспечивается тремя</w:t>
      </w:r>
      <w:r w:rsidR="003F4110">
        <w:rPr>
          <w:rFonts w:hAnsi="Times New Roman" w:cs="Times New Roman"/>
          <w:color w:val="000000"/>
          <w:sz w:val="24"/>
          <w:szCs w:val="24"/>
        </w:rPr>
        <w:t> </w:t>
      </w:r>
      <w:r w:rsidR="003F4110"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способами: кипяченой и расфасованной в бутылки водой, с помощью стационарных питьевых фонтанчиков. </w:t>
      </w:r>
    </w:p>
    <w:p w:rsidR="00CD213E" w:rsidRPr="00101401" w:rsidRDefault="00101401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3F4110" w:rsidRPr="00101401">
        <w:rPr>
          <w:rFonts w:hAnsi="Times New Roman" w:cs="Times New Roman"/>
          <w:color w:val="000000"/>
          <w:sz w:val="24"/>
          <w:szCs w:val="24"/>
          <w:lang w:val="ru-RU"/>
        </w:rPr>
        <w:t>.2. Свободный доступ к питьевой воде обеспечивается в течение всего времени</w:t>
      </w:r>
      <w:r w:rsidR="003F4110" w:rsidRPr="00101401">
        <w:rPr>
          <w:lang w:val="ru-RU"/>
        </w:rPr>
        <w:br/>
      </w:r>
      <w:r w:rsidR="003F4110"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пребывания </w:t>
      </w:r>
      <w:proofErr w:type="gramStart"/>
      <w:r w:rsidR="003F4110"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3F4110"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</w:t>
      </w:r>
    </w:p>
    <w:p w:rsidR="00CD213E" w:rsidRPr="00101401" w:rsidRDefault="00101401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3F4110" w:rsidRPr="00101401">
        <w:rPr>
          <w:rFonts w:hAnsi="Times New Roman" w:cs="Times New Roman"/>
          <w:color w:val="000000"/>
          <w:sz w:val="24"/>
          <w:szCs w:val="24"/>
          <w:lang w:val="ru-RU"/>
        </w:rPr>
        <w:t>.3. При организации питьевого режима соблюдаются правила и нормативы, установленные СанПиН 2.3/2.4.3590-20.</w:t>
      </w:r>
    </w:p>
    <w:p w:rsidR="00CD213E" w:rsidRPr="00101401" w:rsidRDefault="003F4110" w:rsidP="003F68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CD213E" w:rsidRPr="00101401" w:rsidRDefault="003F4110" w:rsidP="00AF09D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:rsidR="00CD213E" w:rsidRPr="00101401" w:rsidRDefault="003F4110" w:rsidP="00AF09D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CD213E" w:rsidRPr="00101401" w:rsidRDefault="003F4110" w:rsidP="00AF09D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счет средств областного и местного бюджетов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Бюджетные средства </w:t>
      </w:r>
      <w:r w:rsidR="00101401">
        <w:rPr>
          <w:rFonts w:hAnsi="Times New Roman" w:cs="Times New Roman"/>
          <w:color w:val="000000"/>
          <w:sz w:val="24"/>
          <w:szCs w:val="24"/>
          <w:lang w:val="ru-RU"/>
        </w:rPr>
        <w:t>Тарасовского района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обеспечение горячим питанием обучающихся выделяются в качестве меры социальной поддержки обучающимся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  <w:proofErr w:type="gramEnd"/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4.3.1. Горячее питание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родительской платы производится на основании:</w:t>
      </w:r>
    </w:p>
    <w:p w:rsidR="00CD213E" w:rsidRPr="00101401" w:rsidRDefault="003F4110" w:rsidP="00AF09D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 №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 предоставлении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трех дней со дня </w:t>
      </w:r>
      <w:r w:rsidR="00101401">
        <w:rPr>
          <w:rFonts w:hAnsi="Times New Roman" w:cs="Times New Roman"/>
          <w:color w:val="000000"/>
          <w:sz w:val="24"/>
          <w:szCs w:val="24"/>
          <w:lang w:val="ru-RU"/>
        </w:rPr>
        <w:t>подачи заявления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предоставлении обучающемуся платного 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4.3.3. Сумма платежа на горячее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обучающихся за счет родительской платы осуществляется на условиях предоплаты.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4.3.5. О непосещении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школа направляет на организацию дополнительного питания всех категорий обучающихся.</w:t>
      </w:r>
    </w:p>
    <w:p w:rsidR="00CD213E" w:rsidRPr="00101401" w:rsidRDefault="003F4110" w:rsidP="003F68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 течение трех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сообщить об этом представителю школы.</w:t>
      </w:r>
      <w:proofErr w:type="gramEnd"/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(завтрак и обед) имеют право обучающиеся, отнесенные к категории:</w:t>
      </w:r>
      <w:proofErr w:type="gramEnd"/>
    </w:p>
    <w:p w:rsidR="00CD213E" w:rsidRPr="00101401" w:rsidRDefault="003F4110" w:rsidP="00AF09D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CD213E" w:rsidRPr="00101401" w:rsidRDefault="003F4110" w:rsidP="00AF09D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5.2.1. На бесплатное одноразовое горячее питание (завтрак) имеют право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1–4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5.3. На возмещение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на горячее питание в размере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стоимости питания имеют право обучающиеся, отнесенные к категории:</w:t>
      </w:r>
    </w:p>
    <w:p w:rsidR="00CD213E" w:rsidRDefault="003F4110" w:rsidP="00AF09D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13E" w:rsidRDefault="003F4110" w:rsidP="00AF09D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многодетных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13E" w:rsidRDefault="003F4110" w:rsidP="00AF09D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5.4.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5.5. Основанием для получения обучающимися мер социальной поддержки – горячего питания является ежегодное предоставление в школу:</w:t>
      </w:r>
    </w:p>
    <w:p w:rsidR="00CD213E" w:rsidRPr="00101401" w:rsidRDefault="003F4110" w:rsidP="00AF09D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№ 2 к настоящему Положению;</w:t>
      </w:r>
    </w:p>
    <w:p w:rsidR="00CD213E" w:rsidRPr="00101401" w:rsidRDefault="003F4110" w:rsidP="00AF09D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№ 1 к настоящему Положению.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 (законного представителя) за обеспечением обучающегося льготным горячим питанием такое питание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 не предоставляется.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5.7. 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CD213E" w:rsidRPr="00101401" w:rsidRDefault="003F4110" w:rsidP="00AF09D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льготного горячего 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13E" w:rsidRPr="00101401" w:rsidRDefault="003F4110" w:rsidP="00AF09D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5.8.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5.9. Решение об отказе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предоставлении льготного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CD213E" w:rsidRPr="00101401" w:rsidRDefault="003F4110" w:rsidP="00AF09D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CD213E" w:rsidRPr="00101401" w:rsidRDefault="003F4110" w:rsidP="00AF09D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питания.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5.10.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льготного питания в случаях, установленных абзацами 2, 4 и 5 пункта 3.1.2 настоящего Положения.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CD213E" w:rsidRPr="00101401" w:rsidRDefault="003F4110" w:rsidP="003F68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CD213E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213E" w:rsidRPr="00101401" w:rsidRDefault="003F4110" w:rsidP="00AF09D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13E" w:rsidRPr="00101401" w:rsidRDefault="003F4110" w:rsidP="00AF09D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CD213E" w:rsidRPr="00101401" w:rsidRDefault="003F4110" w:rsidP="00AF09D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CD213E" w:rsidRPr="00101401" w:rsidRDefault="003F4110" w:rsidP="00AF09D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CD213E" w:rsidRPr="00101401" w:rsidRDefault="003F4110" w:rsidP="00AF09DB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</w:t>
      </w:r>
      <w:r w:rsidR="00AF09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обязанности, установленные приказом директора школы.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6.3. Заместитель директора по административно-хозяйственной части:</w:t>
      </w:r>
    </w:p>
    <w:p w:rsidR="00CD213E" w:rsidRPr="00101401" w:rsidRDefault="003F4110" w:rsidP="00AF09D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CD213E" w:rsidRPr="00101401" w:rsidRDefault="003F4110" w:rsidP="00AF09D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CD213E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213E" w:rsidRPr="00101401" w:rsidRDefault="003F4110" w:rsidP="00AF09D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CD213E" w:rsidRPr="00101401" w:rsidRDefault="003F4110" w:rsidP="00AF09D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CD213E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213E" w:rsidRDefault="003F4110" w:rsidP="00AF09D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13E" w:rsidRPr="00101401" w:rsidRDefault="003F4110" w:rsidP="00AF09D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уточняют представленную заявку об организации горячего 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13E" w:rsidRPr="00101401" w:rsidRDefault="003F4110" w:rsidP="00AF09D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CD213E" w:rsidRPr="00101401" w:rsidRDefault="003F4110" w:rsidP="00AF09D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CD213E" w:rsidRPr="00101401" w:rsidRDefault="003F4110" w:rsidP="00AF09D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CD213E" w:rsidRPr="00101401" w:rsidRDefault="003F4110" w:rsidP="00AF09D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CD213E" w:rsidRPr="00101401" w:rsidRDefault="003F4110" w:rsidP="00AF09D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CD213E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213E" w:rsidRPr="00101401" w:rsidRDefault="003F4110" w:rsidP="00AF09D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CD213E" w:rsidRPr="00101401" w:rsidRDefault="003F4110" w:rsidP="00AF09D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CD213E" w:rsidRPr="00101401" w:rsidRDefault="003F4110" w:rsidP="00AF09D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CD213E" w:rsidRPr="00101401" w:rsidRDefault="003F4110" w:rsidP="00AF09D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CD213E" w:rsidRDefault="003F4110" w:rsidP="00AF09D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CD213E" w:rsidRDefault="003F4110" w:rsidP="003F68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proofErr w:type="spellEnd"/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CD213E" w:rsidRPr="00101401" w:rsidRDefault="003F4110" w:rsidP="003F68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CD213E" w:rsidRPr="00101401" w:rsidRDefault="003F4110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8.3.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CD213E" w:rsidRDefault="00CD213E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FCA" w:rsidRDefault="00B17FCA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FCA" w:rsidRDefault="00B17FCA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FCA" w:rsidRPr="00101401" w:rsidRDefault="00B17FCA" w:rsidP="00AF09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13E" w:rsidRPr="00101401" w:rsidRDefault="003F4110" w:rsidP="003F68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101401">
        <w:rPr>
          <w:lang w:val="ru-RU"/>
        </w:rPr>
        <w:br/>
      </w:r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</w:t>
      </w:r>
      <w:proofErr w:type="gramStart"/>
      <w:r w:rsidRPr="001014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1401">
        <w:rPr>
          <w:lang w:val="ru-RU"/>
        </w:rPr>
        <w:br/>
      </w:r>
    </w:p>
    <w:p w:rsidR="00CD213E" w:rsidRPr="00101401" w:rsidRDefault="003F4110" w:rsidP="003F68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7"/>
        <w:gridCol w:w="7223"/>
      </w:tblGrid>
      <w:tr w:rsidR="00CD213E" w:rsidTr="003F6872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Default="003F4110" w:rsidP="00AF09D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Default="003F4110" w:rsidP="00AF09D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</w:tr>
      <w:tr w:rsidR="00CD213E" w:rsidRPr="00B17FCA" w:rsidTr="003F6872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Pr="00101401" w:rsidRDefault="003F4110" w:rsidP="00B17FCA">
            <w:pPr>
              <w:spacing w:before="0" w:beforeAutospacing="0" w:after="0" w:afterAutospacing="0"/>
              <w:rPr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  <w:r w:rsidRPr="00101401">
              <w:rPr>
                <w:lang w:val="ru-RU"/>
              </w:rPr>
              <w:br/>
            </w:r>
            <w:r w:rsidR="00B17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r w:rsidRPr="00101401">
              <w:rPr>
                <w:lang w:val="ru-RU"/>
              </w:rPr>
              <w:br/>
            </w:r>
            <w:r w:rsidR="00B17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Pr="00101401" w:rsidRDefault="003F4110" w:rsidP="00B17FCA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решения органа опеки и попечительства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CD213E" w:rsidRPr="00B17FCA" w:rsidTr="003F6872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Pr="00101401" w:rsidRDefault="003F4110" w:rsidP="00AF09DB">
            <w:pPr>
              <w:jc w:val="both"/>
              <w:rPr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Pr="00101401" w:rsidRDefault="003F4110" w:rsidP="00B17FCA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:rsidR="00CD213E" w:rsidRPr="00101401" w:rsidRDefault="003F4110" w:rsidP="00B17FCA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  <w:tr w:rsidR="00CD213E" w:rsidRPr="00B17FCA" w:rsidTr="003F6872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Default="003F4110" w:rsidP="00B17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Pr="00B17FCA" w:rsidRDefault="003F4110" w:rsidP="00B17FCA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составе семьи;</w:t>
            </w:r>
          </w:p>
          <w:p w:rsidR="00CD213E" w:rsidRPr="00101401" w:rsidRDefault="003F4110" w:rsidP="00B17FCA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CD213E" w:rsidRPr="00101401" w:rsidRDefault="003F4110" w:rsidP="00B17FCA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начислении пособия для безработных граждан;</w:t>
            </w:r>
          </w:p>
          <w:p w:rsidR="00CD213E" w:rsidRPr="00101401" w:rsidRDefault="003F4110" w:rsidP="00B17FCA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обследования семьи, подписанный 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 и членами родительского комитета</w:t>
            </w:r>
          </w:p>
        </w:tc>
      </w:tr>
      <w:tr w:rsidR="00CD213E" w:rsidRPr="00B17FCA" w:rsidTr="003F6872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Default="003F4110" w:rsidP="00AF09D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13E" w:rsidRPr="00B17FCA" w:rsidRDefault="003F4110" w:rsidP="00B17FCA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удостоверения многодетной мамы;</w:t>
            </w:r>
          </w:p>
          <w:p w:rsidR="00CD213E" w:rsidRPr="00101401" w:rsidRDefault="003F4110" w:rsidP="00B17FCA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свидетельств о рождении всех детей;</w:t>
            </w:r>
          </w:p>
          <w:p w:rsidR="00CD213E" w:rsidRPr="00101401" w:rsidRDefault="003F4110" w:rsidP="00B17FCA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из МФЦ о составе семьи</w:t>
            </w:r>
          </w:p>
        </w:tc>
      </w:tr>
    </w:tbl>
    <w:p w:rsidR="003F4110" w:rsidRPr="00101401" w:rsidRDefault="003F4110">
      <w:pPr>
        <w:rPr>
          <w:lang w:val="ru-RU"/>
        </w:rPr>
      </w:pPr>
    </w:p>
    <w:sectPr w:rsidR="003F4110" w:rsidRPr="00101401" w:rsidSect="00AF09DB">
      <w:headerReference w:type="default" r:id="rId8"/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15" w:rsidRDefault="00450A15" w:rsidP="00B17FCA">
      <w:pPr>
        <w:spacing w:before="0" w:after="0"/>
      </w:pPr>
      <w:r>
        <w:separator/>
      </w:r>
    </w:p>
  </w:endnote>
  <w:endnote w:type="continuationSeparator" w:id="0">
    <w:p w:rsidR="00450A15" w:rsidRDefault="00450A15" w:rsidP="00B17FC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15" w:rsidRDefault="00450A15" w:rsidP="00B17FCA">
      <w:pPr>
        <w:spacing w:before="0" w:after="0"/>
      </w:pPr>
      <w:r>
        <w:separator/>
      </w:r>
    </w:p>
  </w:footnote>
  <w:footnote w:type="continuationSeparator" w:id="0">
    <w:p w:rsidR="00450A15" w:rsidRDefault="00450A15" w:rsidP="00B17FC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Заголовок"/>
      <w:id w:val="77738743"/>
      <w:placeholder>
        <w:docPart w:val="E3238FE9F2C24C8B9994864D6D3435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7FCA" w:rsidRPr="00B17FCA" w:rsidRDefault="00B17FC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  <w:lang w:val="ru-RU"/>
          </w:rPr>
        </w:pPr>
        <w:r w:rsidRPr="00B17FCA">
          <w:rPr>
            <w:rFonts w:asciiTheme="majorHAnsi" w:eastAsiaTheme="majorEastAsia" w:hAnsiTheme="majorHAnsi" w:cstheme="majorBidi"/>
            <w:sz w:val="28"/>
            <w:szCs w:val="28"/>
            <w:lang w:val="ru-RU"/>
          </w:rPr>
          <w:t xml:space="preserve">Муниципальное бюджетное </w:t>
        </w:r>
        <w:r>
          <w:rPr>
            <w:rFonts w:asciiTheme="majorHAnsi" w:eastAsiaTheme="majorEastAsia" w:hAnsiTheme="majorHAnsi" w:cstheme="majorBidi"/>
            <w:sz w:val="28"/>
            <w:szCs w:val="28"/>
            <w:lang w:val="ru-RU"/>
          </w:rPr>
          <w:t xml:space="preserve">общеобразовательное учреждение </w:t>
        </w:r>
        <w:proofErr w:type="spellStart"/>
        <w:r>
          <w:rPr>
            <w:rFonts w:asciiTheme="majorHAnsi" w:eastAsiaTheme="majorEastAsia" w:hAnsiTheme="majorHAnsi" w:cstheme="majorBidi"/>
            <w:sz w:val="28"/>
            <w:szCs w:val="28"/>
            <w:lang w:val="ru-RU"/>
          </w:rPr>
          <w:t>Р</w:t>
        </w:r>
        <w:r w:rsidRPr="00B17FCA">
          <w:rPr>
            <w:rFonts w:asciiTheme="majorHAnsi" w:eastAsiaTheme="majorEastAsia" w:hAnsiTheme="majorHAnsi" w:cstheme="majorBidi"/>
            <w:sz w:val="28"/>
            <w:szCs w:val="28"/>
            <w:lang w:val="ru-RU"/>
          </w:rPr>
          <w:t>ыновская</w:t>
        </w:r>
        <w:proofErr w:type="spellEnd"/>
        <w:r w:rsidRPr="00B17FCA">
          <w:rPr>
            <w:rFonts w:asciiTheme="majorHAnsi" w:eastAsiaTheme="majorEastAsia" w:hAnsiTheme="majorHAnsi" w:cstheme="majorBidi"/>
            <w:sz w:val="28"/>
            <w:szCs w:val="28"/>
            <w:lang w:val="ru-RU"/>
          </w:rPr>
          <w:t xml:space="preserve"> основная общеобразовательная школа</w:t>
        </w:r>
      </w:p>
    </w:sdtContent>
  </w:sdt>
  <w:p w:rsidR="00B17FCA" w:rsidRPr="00B17FCA" w:rsidRDefault="00B17FCA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12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D7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71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01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A4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F4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82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62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C2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17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B0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580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15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20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F7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87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DF0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85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0"/>
  </w:num>
  <w:num w:numId="8">
    <w:abstractNumId w:val="16"/>
  </w:num>
  <w:num w:numId="9">
    <w:abstractNumId w:val="11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18"/>
  </w:num>
  <w:num w:numId="15">
    <w:abstractNumId w:val="3"/>
  </w:num>
  <w:num w:numId="16">
    <w:abstractNumId w:val="4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01401"/>
    <w:rsid w:val="002D33B1"/>
    <w:rsid w:val="002D3591"/>
    <w:rsid w:val="002D6F2B"/>
    <w:rsid w:val="003514A0"/>
    <w:rsid w:val="003F4110"/>
    <w:rsid w:val="003F6872"/>
    <w:rsid w:val="00450A15"/>
    <w:rsid w:val="004F7E17"/>
    <w:rsid w:val="005A05CE"/>
    <w:rsid w:val="00653AF6"/>
    <w:rsid w:val="007B356E"/>
    <w:rsid w:val="00A61E7E"/>
    <w:rsid w:val="00A65585"/>
    <w:rsid w:val="00AF09DB"/>
    <w:rsid w:val="00B17FCA"/>
    <w:rsid w:val="00B73A5A"/>
    <w:rsid w:val="00BD3D39"/>
    <w:rsid w:val="00CD213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3D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FC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17FCA"/>
  </w:style>
  <w:style w:type="paragraph" w:styleId="a7">
    <w:name w:val="footer"/>
    <w:basedOn w:val="a"/>
    <w:link w:val="a8"/>
    <w:uiPriority w:val="99"/>
    <w:semiHidden/>
    <w:unhideWhenUsed/>
    <w:rsid w:val="00B17FC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238FE9F2C24C8B9994864D6D3435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0A0B3-AA78-4FAE-9FDC-B0AAFA500B41}"/>
      </w:docPartPr>
      <w:docPartBody>
        <w:p w:rsidR="00000000" w:rsidRDefault="009E34F3" w:rsidP="009E34F3">
          <w:pPr>
            <w:pStyle w:val="E3238FE9F2C24C8B9994864D6D3435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E34F3"/>
    <w:rsid w:val="000B6C5A"/>
    <w:rsid w:val="009E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238FE9F2C24C8B9994864D6D3435AA">
    <w:name w:val="E3238FE9F2C24C8B9994864D6D3435AA"/>
    <w:rsid w:val="009E34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5A6B-9811-49FA-8BCC-EAE75009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Рыновская основная общеобразовательная школа</dc:title>
  <dc:creator>Тынянова Т.А.</dc:creator>
  <dc:description>Подготовлено экспертами Актион-МЦФЭР</dc:description>
  <cp:lastModifiedBy>shkola</cp:lastModifiedBy>
  <cp:revision>2</cp:revision>
  <cp:lastPrinted>2021-03-27T10:03:00Z</cp:lastPrinted>
  <dcterms:created xsi:type="dcterms:W3CDTF">2021-03-27T10:05:00Z</dcterms:created>
  <dcterms:modified xsi:type="dcterms:W3CDTF">2021-03-27T10:05:00Z</dcterms:modified>
</cp:coreProperties>
</file>